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BF" w:rsidRDefault="00AC15BF" w:rsidP="00AC15BF">
      <w:pPr>
        <w:jc w:val="center"/>
      </w:pPr>
      <w:r>
        <w:rPr>
          <w:rFonts w:hint="eastAsia"/>
          <w:sz w:val="32"/>
          <w:szCs w:val="32"/>
        </w:rPr>
        <w:t>《口腔生物学》课程实验教学大纲</w:t>
      </w:r>
    </w:p>
    <w:p w:rsidR="00AC15BF" w:rsidRDefault="00AC15BF" w:rsidP="00AC15BF">
      <w:r>
        <w:rPr>
          <w:rFonts w:hint="eastAsia"/>
        </w:rPr>
        <w:t xml:space="preserve"> </w:t>
      </w:r>
    </w:p>
    <w:p w:rsidR="00AC15BF" w:rsidRDefault="00AC15BF" w:rsidP="00AC15BF">
      <w:r>
        <w:rPr>
          <w:rFonts w:hint="eastAsia"/>
        </w:rPr>
        <w:t>课程编号：</w:t>
      </w:r>
      <w:r>
        <w:rPr>
          <w:sz w:val="24"/>
          <w:szCs w:val="24"/>
        </w:rPr>
        <w:t>142036</w:t>
      </w:r>
      <w:r>
        <w:rPr>
          <w:rFonts w:hint="eastAsia"/>
        </w:rPr>
        <w:t xml:space="preserve">   </w:t>
      </w:r>
      <w:r>
        <w:rPr>
          <w:rFonts w:hint="eastAsia"/>
        </w:rPr>
        <w:t>学分：</w:t>
      </w:r>
      <w:r>
        <w:rPr>
          <w:rFonts w:hint="eastAsia"/>
        </w:rPr>
        <w:t xml:space="preserve">  </w:t>
      </w:r>
      <w:r>
        <w:rPr>
          <w:sz w:val="24"/>
          <w:szCs w:val="24"/>
        </w:rPr>
        <w:t>1</w:t>
      </w:r>
      <w:r>
        <w:rPr>
          <w:rFonts w:hint="eastAsia"/>
        </w:rPr>
        <w:t xml:space="preserve">    </w:t>
      </w:r>
      <w:r>
        <w:rPr>
          <w:rFonts w:hint="eastAsia"/>
        </w:rPr>
        <w:t>总学时：</w:t>
      </w:r>
      <w:r>
        <w:rPr>
          <w:rFonts w:hint="eastAsia"/>
          <w:sz w:val="24"/>
          <w:szCs w:val="24"/>
        </w:rPr>
        <w:t xml:space="preserve">17  </w:t>
      </w:r>
      <w:r>
        <w:rPr>
          <w:rFonts w:hint="eastAsia"/>
        </w:rPr>
        <w:t>实验学时：</w:t>
      </w:r>
      <w:r>
        <w:rPr>
          <w:rFonts w:hint="eastAsia"/>
        </w:rPr>
        <w:t>6</w:t>
      </w:r>
    </w:p>
    <w:p w:rsidR="00AC15BF" w:rsidRDefault="00AC15BF" w:rsidP="00AC15BF">
      <w:r>
        <w:rPr>
          <w:rFonts w:hint="eastAsia"/>
        </w:rPr>
        <w:t>大纲执笔人：马健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</w:rPr>
        <w:t>大纲审核人：</w:t>
      </w:r>
      <w:proofErr w:type="gramStart"/>
      <w:r>
        <w:rPr>
          <w:rFonts w:hint="eastAsia"/>
        </w:rPr>
        <w:t>苏剑生</w:t>
      </w:r>
      <w:proofErr w:type="gramEnd"/>
    </w:p>
    <w:p w:rsidR="00AC15BF" w:rsidRDefault="00AC15BF" w:rsidP="00AC15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AC15BF" w:rsidRDefault="00AC15BF" w:rsidP="00AC15BF">
      <w:pPr>
        <w:numPr>
          <w:ilvl w:val="0"/>
          <w:numId w:val="1"/>
        </w:numPr>
        <w:spacing w:line="360" w:lineRule="auto"/>
      </w:pPr>
      <w:r>
        <w:rPr>
          <w:rFonts w:hint="eastAsia"/>
          <w:sz w:val="24"/>
          <w:szCs w:val="24"/>
        </w:rPr>
        <w:t>课程性质与目的</w:t>
      </w:r>
    </w:p>
    <w:p w:rsidR="00AC15BF" w:rsidRDefault="00AC15BF" w:rsidP="00AC15BF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 w:cs="MS Song"/>
        </w:rPr>
      </w:pPr>
      <w:r>
        <w:rPr>
          <w:rFonts w:asciiTheme="minorEastAsia" w:eastAsiaTheme="minorEastAsia" w:hAnsiTheme="minorEastAsia" w:cs="MS Song" w:hint="eastAsia"/>
        </w:rPr>
        <w:t>口腔生物学是医学基础课与口腔专业课之间的桥梁，它从基础理论上解释各种口腔疾病的发生、发展和预后。它内容涵盖口腔微生物学</w:t>
      </w:r>
      <w:r>
        <w:rPr>
          <w:rFonts w:asciiTheme="minorEastAsia" w:eastAsiaTheme="minorEastAsia" w:hAnsiTheme="minorEastAsia" w:hint="eastAsia"/>
        </w:rPr>
        <w:t>,</w:t>
      </w:r>
      <w:r>
        <w:rPr>
          <w:rFonts w:asciiTheme="minorEastAsia" w:eastAsiaTheme="minorEastAsia" w:hAnsiTheme="minorEastAsia" w:cs="MS Song" w:hint="eastAsia"/>
        </w:rPr>
        <w:t>口腔生物化学</w:t>
      </w:r>
      <w:r>
        <w:rPr>
          <w:rFonts w:asciiTheme="minorEastAsia" w:eastAsiaTheme="minorEastAsia" w:hAnsiTheme="minorEastAsia" w:hint="eastAsia"/>
        </w:rPr>
        <w:t>,</w:t>
      </w:r>
      <w:r>
        <w:rPr>
          <w:rFonts w:asciiTheme="minorEastAsia" w:eastAsiaTheme="minorEastAsia" w:hAnsiTheme="minorEastAsia" w:cs="MS Song" w:hint="eastAsia"/>
        </w:rPr>
        <w:t>口腔分子生物学</w:t>
      </w:r>
      <w:r>
        <w:rPr>
          <w:rFonts w:asciiTheme="minorEastAsia" w:eastAsiaTheme="minorEastAsia" w:hAnsiTheme="minorEastAsia" w:hint="eastAsia"/>
        </w:rPr>
        <w:t>,</w:t>
      </w:r>
      <w:r>
        <w:rPr>
          <w:rFonts w:asciiTheme="minorEastAsia" w:eastAsiaTheme="minorEastAsia" w:hAnsiTheme="minorEastAsia" w:cs="MS Song" w:hint="eastAsia"/>
        </w:rPr>
        <w:t>口腔免疫学和牙周骨组织生物学等。</w:t>
      </w:r>
    </w:p>
    <w:p w:rsidR="00AC15BF" w:rsidRDefault="00AC15BF" w:rsidP="00AC15BF">
      <w:pPr>
        <w:numPr>
          <w:ilvl w:val="0"/>
          <w:numId w:val="1"/>
        </w:numPr>
        <w:spacing w:line="360" w:lineRule="auto"/>
        <w:rPr>
          <w:rFonts w:hAnsi="Times New Roman"/>
          <w:sz w:val="24"/>
          <w:szCs w:val="24"/>
        </w:rPr>
      </w:pPr>
      <w:r>
        <w:rPr>
          <w:rFonts w:hint="eastAsia"/>
          <w:sz w:val="24"/>
          <w:szCs w:val="24"/>
        </w:rPr>
        <w:t>课程面向专业</w:t>
      </w:r>
    </w:p>
    <w:p w:rsidR="00AC15BF" w:rsidRDefault="00AC15BF" w:rsidP="00AC15BF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 w:cs="MS Song"/>
        </w:rPr>
      </w:pPr>
      <w:r>
        <w:rPr>
          <w:rFonts w:asciiTheme="minorEastAsia" w:eastAsiaTheme="minorEastAsia" w:hAnsiTheme="minorEastAsia" w:cs="MS Song" w:hint="eastAsia"/>
        </w:rPr>
        <w:t>口腔医学。</w:t>
      </w:r>
    </w:p>
    <w:p w:rsidR="00AC15BF" w:rsidRDefault="00AC15BF" w:rsidP="00AC15BF">
      <w:pPr>
        <w:numPr>
          <w:ilvl w:val="0"/>
          <w:numId w:val="1"/>
        </w:numPr>
        <w:spacing w:line="360" w:lineRule="auto"/>
        <w:rPr>
          <w:rFonts w:hAnsi="Times New Roman"/>
          <w:sz w:val="24"/>
          <w:szCs w:val="24"/>
        </w:rPr>
      </w:pPr>
      <w:r>
        <w:rPr>
          <w:rFonts w:hint="eastAsia"/>
          <w:sz w:val="24"/>
          <w:szCs w:val="24"/>
        </w:rPr>
        <w:t>课程基本要求</w:t>
      </w:r>
      <w:r>
        <w:rPr>
          <w:rFonts w:hint="eastAsia"/>
          <w:sz w:val="24"/>
          <w:szCs w:val="24"/>
        </w:rPr>
        <w:t xml:space="preserve"> </w:t>
      </w:r>
    </w:p>
    <w:p w:rsidR="00AC15BF" w:rsidRDefault="00AC15BF" w:rsidP="00AC15BF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 w:cs="MS Song"/>
        </w:rPr>
      </w:pPr>
      <w:r>
        <w:rPr>
          <w:rFonts w:asciiTheme="minorEastAsia" w:eastAsiaTheme="minorEastAsia" w:hAnsiTheme="minorEastAsia" w:cs="MS Song" w:hint="eastAsia"/>
        </w:rPr>
        <w:t>掌握正常菌丛的分类， 其生物特性和致病性。熟悉牙菌斑内物质代谢的基础上，了解</w:t>
      </w:r>
      <w:proofErr w:type="gramStart"/>
      <w:r>
        <w:rPr>
          <w:rFonts w:asciiTheme="minorEastAsia" w:eastAsiaTheme="minorEastAsia" w:hAnsiTheme="minorEastAsia" w:cs="MS Song" w:hint="eastAsia"/>
        </w:rPr>
        <w:t>龋</w:t>
      </w:r>
      <w:proofErr w:type="gramEnd"/>
      <w:r>
        <w:rPr>
          <w:rFonts w:asciiTheme="minorEastAsia" w:eastAsiaTheme="minorEastAsia" w:hAnsiTheme="minorEastAsia" w:cs="MS Song" w:hint="eastAsia"/>
        </w:rPr>
        <w:t>病和牙周病发生的机制。了解分子生物学研究的基本操作技术。掌握牙周骨组织生物学。掌握细胞培养的基本原理。</w:t>
      </w:r>
    </w:p>
    <w:p w:rsidR="00AC15BF" w:rsidRDefault="00AC15BF" w:rsidP="00AC15BF">
      <w:pPr>
        <w:numPr>
          <w:ilvl w:val="0"/>
          <w:numId w:val="1"/>
        </w:numPr>
        <w:spacing w:line="360" w:lineRule="auto"/>
        <w:rPr>
          <w:rFonts w:hAnsi="Times New Roman"/>
          <w:sz w:val="24"/>
          <w:szCs w:val="24"/>
        </w:rPr>
      </w:pPr>
      <w:r>
        <w:rPr>
          <w:rFonts w:hint="eastAsia"/>
          <w:sz w:val="24"/>
          <w:szCs w:val="24"/>
        </w:rPr>
        <w:t>实验基本要求</w:t>
      </w:r>
    </w:p>
    <w:p w:rsidR="00AC15BF" w:rsidRDefault="00AC15BF" w:rsidP="00AC15BF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 w:cs="MS Song"/>
        </w:rPr>
      </w:pPr>
      <w:r>
        <w:rPr>
          <w:rFonts w:asciiTheme="minorEastAsia" w:eastAsiaTheme="minorEastAsia" w:hAnsiTheme="minorEastAsia" w:cs="MS Song" w:hint="eastAsia"/>
        </w:rPr>
        <w:t>熟悉唾液中钙磷含量对口腔</w:t>
      </w:r>
      <w:proofErr w:type="gramStart"/>
      <w:r>
        <w:rPr>
          <w:rFonts w:asciiTheme="minorEastAsia" w:eastAsiaTheme="minorEastAsia" w:hAnsiTheme="minorEastAsia" w:cs="MS Song" w:hint="eastAsia"/>
        </w:rPr>
        <w:t>龋</w:t>
      </w:r>
      <w:proofErr w:type="gramEnd"/>
      <w:r>
        <w:rPr>
          <w:rFonts w:asciiTheme="minorEastAsia" w:eastAsiaTheme="minorEastAsia" w:hAnsiTheme="minorEastAsia" w:cs="MS Song" w:hint="eastAsia"/>
        </w:rPr>
        <w:t>病的发生原理和牙菌斑的矿化牙体表面脱矿的理解。</w:t>
      </w:r>
    </w:p>
    <w:p w:rsidR="00AC15BF" w:rsidRDefault="00AC15BF" w:rsidP="00AC15BF">
      <w:pPr>
        <w:numPr>
          <w:ilvl w:val="0"/>
          <w:numId w:val="1"/>
        </w:numPr>
        <w:spacing w:line="360" w:lineRule="auto"/>
        <w:rPr>
          <w:rFonts w:hAnsi="Times New Roman"/>
          <w:sz w:val="24"/>
          <w:szCs w:val="24"/>
        </w:rPr>
      </w:pPr>
      <w:r>
        <w:rPr>
          <w:rFonts w:hint="eastAsia"/>
          <w:sz w:val="24"/>
          <w:szCs w:val="24"/>
        </w:rPr>
        <w:t>实验或上机基本内容</w:t>
      </w:r>
    </w:p>
    <w:p w:rsidR="00AC15BF" w:rsidRDefault="00AC15BF" w:rsidP="00AC15BF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 w:cs="MS Song"/>
        </w:rPr>
      </w:pPr>
      <w:r>
        <w:rPr>
          <w:rFonts w:asciiTheme="minorEastAsia" w:eastAsiaTheme="minorEastAsia" w:hAnsiTheme="minorEastAsia" w:cs="MS Song"/>
        </w:rPr>
        <w:tab/>
      </w:r>
      <w:r>
        <w:rPr>
          <w:rFonts w:asciiTheme="minorEastAsia" w:eastAsiaTheme="minorEastAsia" w:hAnsiTheme="minorEastAsia" w:cs="MS Song" w:hint="eastAsia"/>
        </w:rPr>
        <w:t>应用分光光度计的使用，比色法测定钙磷的原理方法</w:t>
      </w:r>
    </w:p>
    <w:p w:rsidR="00AC15BF" w:rsidRDefault="00AC15BF" w:rsidP="00AC15BF">
      <w:pPr>
        <w:spacing w:line="360" w:lineRule="auto"/>
        <w:rPr>
          <w:rFonts w:hAnsi="Times New Roman"/>
          <w:sz w:val="24"/>
          <w:szCs w:val="24"/>
        </w:rPr>
      </w:pPr>
      <w:r>
        <w:rPr>
          <w:rFonts w:hint="eastAsia"/>
          <w:sz w:val="24"/>
          <w:szCs w:val="24"/>
        </w:rPr>
        <w:t>六、实验内容和主要仪器设备与器材配置</w:t>
      </w:r>
    </w:p>
    <w:tbl>
      <w:tblPr>
        <w:tblW w:w="9540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1800"/>
        <w:gridCol w:w="2160"/>
        <w:gridCol w:w="360"/>
        <w:gridCol w:w="540"/>
        <w:gridCol w:w="360"/>
        <w:gridCol w:w="540"/>
        <w:gridCol w:w="360"/>
        <w:gridCol w:w="720"/>
        <w:gridCol w:w="540"/>
        <w:gridCol w:w="540"/>
        <w:gridCol w:w="720"/>
      </w:tblGrid>
      <w:tr w:rsidR="00AC15BF" w:rsidTr="001C79F3">
        <w:trPr>
          <w:cantSplit/>
          <w:trHeight w:val="315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实验项目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内容提要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实验类别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每</w:t>
            </w:r>
          </w:p>
          <w:p w:rsidR="00AC15BF" w:rsidRDefault="00AC15BF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组</w:t>
            </w:r>
          </w:p>
          <w:p w:rsidR="00AC15BF" w:rsidRDefault="00AC15BF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</w:t>
            </w:r>
          </w:p>
          <w:p w:rsidR="00AC15BF" w:rsidRDefault="00AC15BF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实验学时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主要仪器设备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设备复套数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主要消耗材料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所在实验室</w:t>
            </w:r>
          </w:p>
        </w:tc>
      </w:tr>
      <w:tr w:rsidR="00AC15BF" w:rsidTr="001C79F3">
        <w:trPr>
          <w:cantSplit/>
          <w:trHeight w:val="433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验证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综合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设计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C15BF" w:rsidTr="001C79F3">
        <w:trPr>
          <w:cantSplit/>
          <w:trHeight w:val="42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MS Song"/>
              </w:rPr>
            </w:pPr>
            <w:r>
              <w:rPr>
                <w:rFonts w:asciiTheme="minorEastAsia" w:eastAsiaTheme="minorEastAsia" w:hAnsiTheme="minorEastAsia" w:cs="MS Song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MS Song"/>
              </w:rPr>
            </w:pPr>
            <w:r>
              <w:rPr>
                <w:rFonts w:asciiTheme="minorEastAsia" w:eastAsiaTheme="minorEastAsia" w:hAnsiTheme="minorEastAsia" w:cs="MS Song"/>
              </w:rPr>
              <w:t>唾液中钙磷含量的测定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MS Song"/>
              </w:rPr>
            </w:pPr>
            <w:r>
              <w:rPr>
                <w:rFonts w:asciiTheme="minorEastAsia" w:eastAsiaTheme="minorEastAsia" w:hAnsiTheme="minorEastAsia" w:cs="MS Song"/>
              </w:rPr>
              <w:t>分光光度计的使用，比色法测定钙磷的原理方法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MS Son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MS Song"/>
              </w:rPr>
            </w:pPr>
            <w:r>
              <w:rPr>
                <w:rFonts w:asciiTheme="minorEastAsia" w:eastAsiaTheme="minorEastAsia" w:hAnsiTheme="minorEastAsia" w:cs="MS Song"/>
              </w:rPr>
              <w:t>√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MS Son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MS Song"/>
              </w:rPr>
            </w:pPr>
            <w:r>
              <w:rPr>
                <w:rFonts w:asciiTheme="minorEastAsia" w:eastAsiaTheme="minorEastAsia" w:hAnsiTheme="minorEastAsia" w:cs="MS Song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MS Song"/>
              </w:rPr>
            </w:pPr>
            <w:r>
              <w:rPr>
                <w:rFonts w:asciiTheme="minorEastAsia" w:eastAsiaTheme="minorEastAsia" w:hAnsiTheme="minorEastAsia" w:cs="MS Song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MS Song"/>
              </w:rPr>
            </w:pPr>
            <w:r>
              <w:rPr>
                <w:rFonts w:asciiTheme="minorEastAsia" w:eastAsiaTheme="minorEastAsia" w:hAnsiTheme="minorEastAsia" w:cs="MS Song"/>
              </w:rPr>
              <w:t>分光光度计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MS Song"/>
              </w:rPr>
            </w:pPr>
            <w:r>
              <w:rPr>
                <w:rFonts w:asciiTheme="minorEastAsia" w:eastAsiaTheme="minorEastAsia" w:hAnsiTheme="minorEastAsia" w:cs="MS Song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MS Song"/>
              </w:rPr>
            </w:pPr>
            <w:r>
              <w:rPr>
                <w:rFonts w:asciiTheme="minorEastAsia" w:eastAsiaTheme="minorEastAsia" w:hAnsiTheme="minorEastAsia" w:cs="MS Song"/>
              </w:rPr>
              <w:t>钙磷试剂合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5BF" w:rsidRDefault="00AC15BF" w:rsidP="001C79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MS Song"/>
              </w:rPr>
            </w:pPr>
            <w:proofErr w:type="gramStart"/>
            <w:r>
              <w:rPr>
                <w:rFonts w:asciiTheme="minorEastAsia" w:eastAsiaTheme="minorEastAsia" w:hAnsiTheme="minorEastAsia" w:cs="MS Song"/>
              </w:rPr>
              <w:t>牙合学实验室</w:t>
            </w:r>
            <w:proofErr w:type="gramEnd"/>
          </w:p>
        </w:tc>
      </w:tr>
    </w:tbl>
    <w:p w:rsidR="00AC15BF" w:rsidRDefault="00AC15BF" w:rsidP="00AC15BF">
      <w:pPr>
        <w:spacing w:line="360" w:lineRule="auto"/>
        <w:rPr>
          <w:rFonts w:hAnsi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AC15BF" w:rsidRDefault="00AC15BF" w:rsidP="00AC15B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七、能力培养与人格养成教育</w:t>
      </w:r>
    </w:p>
    <w:p w:rsidR="00AC15BF" w:rsidRDefault="00AC15BF" w:rsidP="00AC15BF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 w:cs="MS Song"/>
        </w:rPr>
      </w:pPr>
      <w:r>
        <w:rPr>
          <w:rFonts w:asciiTheme="minorEastAsia" w:eastAsiaTheme="minorEastAsia" w:hAnsiTheme="minorEastAsia" w:cs="MS Song" w:hint="eastAsia"/>
        </w:rPr>
        <w:lastRenderedPageBreak/>
        <w:t>掌握加深对五大口腔临床医学课程中的各种临床疾病理解，应用所学的知识对临床表现进行推理逻辑，判断各种口腔疾病的发生、发展和预后。加深各种口腔疾病的理解。</w:t>
      </w:r>
    </w:p>
    <w:p w:rsidR="00AC15BF" w:rsidRDefault="00AC15BF" w:rsidP="00AC15BF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 w:cs="MS Song"/>
        </w:rPr>
      </w:pPr>
      <w:r>
        <w:rPr>
          <w:rFonts w:asciiTheme="minorEastAsia" w:eastAsiaTheme="minorEastAsia" w:hAnsiTheme="minorEastAsia" w:cs="MS Song" w:hint="eastAsia"/>
        </w:rPr>
        <w:t>学习掌握口腔微生物，口腔生物化学，口腔分子生物学，骨生物学，细胞培养技术和口腔干细胞生物学等理论和实验室技术，为进一步从事研究工作打下一定的理论和实践基础，使口腔生物学课程成为学士硕士，临床与基础之间的桥梁课程。</w:t>
      </w:r>
    </w:p>
    <w:p w:rsidR="00AC15BF" w:rsidRDefault="00AC15BF" w:rsidP="00AC15BF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 w:cs="MS Song"/>
        </w:rPr>
      </w:pPr>
      <w:r>
        <w:rPr>
          <w:rFonts w:asciiTheme="minorEastAsia" w:eastAsiaTheme="minorEastAsia" w:hAnsiTheme="minorEastAsia" w:cs="MS Song" w:hint="eastAsia"/>
        </w:rPr>
        <w:t>培养学生树立正确的世界观，勇于探索。培养医德医风和个人道德修养，掌握为人民治病的技术。</w:t>
      </w:r>
    </w:p>
    <w:p w:rsidR="00AC15BF" w:rsidRDefault="00AC15BF" w:rsidP="00AC15B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AC15BF" w:rsidRDefault="00AC15BF" w:rsidP="00AC15BF">
      <w:pPr>
        <w:spacing w:line="360" w:lineRule="auto"/>
        <w:rPr>
          <w:rFonts w:hAnsi="Times New Roman"/>
          <w:sz w:val="24"/>
          <w:szCs w:val="24"/>
        </w:rPr>
      </w:pPr>
      <w:r>
        <w:rPr>
          <w:rFonts w:hint="eastAsia"/>
          <w:sz w:val="24"/>
          <w:szCs w:val="24"/>
        </w:rPr>
        <w:t>八、前修课程要求</w:t>
      </w:r>
    </w:p>
    <w:p w:rsidR="00AC15BF" w:rsidRDefault="00AC15BF" w:rsidP="00AC15BF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 w:cs="MS Song"/>
        </w:rPr>
      </w:pPr>
      <w:r>
        <w:rPr>
          <w:rFonts w:asciiTheme="minorEastAsia" w:eastAsiaTheme="minorEastAsia" w:hAnsiTheme="minorEastAsia" w:cs="MS Song" w:hint="eastAsia"/>
        </w:rPr>
        <w:t>需掌握《微生物》、《生物学》、《免疫学》等相关的基础医学课程中内容。</w:t>
      </w:r>
    </w:p>
    <w:p w:rsidR="00AC15BF" w:rsidRDefault="00AC15BF" w:rsidP="00AC15BF">
      <w:pPr>
        <w:spacing w:line="360" w:lineRule="auto"/>
        <w:rPr>
          <w:rFonts w:hAnsi="Times New Roman"/>
          <w:sz w:val="24"/>
          <w:szCs w:val="24"/>
        </w:rPr>
      </w:pPr>
      <w:r>
        <w:rPr>
          <w:rFonts w:hint="eastAsia"/>
          <w:sz w:val="24"/>
          <w:szCs w:val="24"/>
        </w:rPr>
        <w:t>九、实验预习和实验报告的要求</w:t>
      </w:r>
    </w:p>
    <w:p w:rsidR="00AC15BF" w:rsidRDefault="00AC15BF" w:rsidP="00AC15BF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 w:cs="MS Song"/>
        </w:rPr>
      </w:pPr>
      <w:r>
        <w:rPr>
          <w:rFonts w:asciiTheme="minorEastAsia" w:eastAsiaTheme="minorEastAsia" w:hAnsiTheme="minorEastAsia" w:cs="MS Song" w:hint="eastAsia"/>
        </w:rPr>
        <w:t>1.实验预习：预习实验课的操作流程。</w:t>
      </w:r>
    </w:p>
    <w:p w:rsidR="00AC15BF" w:rsidRDefault="00AC15BF" w:rsidP="00AC15BF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 w:cs="MS Song"/>
        </w:rPr>
      </w:pPr>
      <w:r>
        <w:rPr>
          <w:rFonts w:asciiTheme="minorEastAsia" w:eastAsiaTheme="minorEastAsia" w:hAnsiTheme="minorEastAsia" w:cs="MS Song" w:hint="eastAsia"/>
        </w:rPr>
        <w:t>2.实验报告的要求：书写实验课的操作流程，每步的过程。</w:t>
      </w:r>
    </w:p>
    <w:p w:rsidR="00AC15BF" w:rsidRDefault="00AC15BF" w:rsidP="00AC15BF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 w:cs="MS Song"/>
        </w:rPr>
      </w:pPr>
      <w:r>
        <w:rPr>
          <w:rFonts w:asciiTheme="minorEastAsia" w:eastAsiaTheme="minorEastAsia" w:hAnsiTheme="minorEastAsia" w:cs="MS Song" w:hint="eastAsia"/>
        </w:rPr>
        <w:t>3.考核方式：依据实验报告占100%。</w:t>
      </w:r>
    </w:p>
    <w:p w:rsidR="00AC15BF" w:rsidRDefault="00AC15BF" w:rsidP="00AC15BF">
      <w:pPr>
        <w:spacing w:line="360" w:lineRule="auto"/>
        <w:ind w:left="48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AC15BF" w:rsidRDefault="00AC15BF" w:rsidP="00AC15BF">
      <w:pPr>
        <w:spacing w:line="360" w:lineRule="auto"/>
        <w:rPr>
          <w:rFonts w:ascii="宋体" w:hAnsi="Times New Roman"/>
          <w:sz w:val="24"/>
          <w:szCs w:val="24"/>
        </w:rPr>
      </w:pPr>
      <w:r>
        <w:rPr>
          <w:rFonts w:hint="eastAsia"/>
          <w:sz w:val="24"/>
          <w:szCs w:val="24"/>
        </w:rPr>
        <w:t>十、教材、实验指导书与主要参考书</w:t>
      </w:r>
    </w:p>
    <w:p w:rsidR="00AC15BF" w:rsidRDefault="00AC15BF" w:rsidP="00AC15BF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 w:cs="MS Song"/>
        </w:rPr>
      </w:pPr>
      <w:r>
        <w:rPr>
          <w:rFonts w:asciiTheme="minorEastAsia" w:eastAsiaTheme="minorEastAsia" w:hAnsiTheme="minorEastAsia" w:cs="MS Song" w:hint="eastAsia"/>
        </w:rPr>
        <w:t>1. 《口腔生物学》第4版，</w:t>
      </w:r>
      <w:proofErr w:type="gramStart"/>
      <w:r>
        <w:rPr>
          <w:rFonts w:asciiTheme="minorEastAsia" w:eastAsiaTheme="minorEastAsia" w:hAnsiTheme="minorEastAsia" w:cs="MS Song" w:hint="eastAsia"/>
        </w:rPr>
        <w:t>边专主编</w:t>
      </w:r>
      <w:proofErr w:type="gramEnd"/>
      <w:r>
        <w:rPr>
          <w:rFonts w:asciiTheme="minorEastAsia" w:eastAsiaTheme="minorEastAsia" w:hAnsiTheme="minorEastAsia" w:cs="MS Song" w:hint="eastAsia"/>
        </w:rPr>
        <w:t>，人民卫生出版社，2012年。</w:t>
      </w:r>
    </w:p>
    <w:p w:rsidR="00AC15BF" w:rsidRDefault="00AC15BF" w:rsidP="00AC15BF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 w:cs="MS Song"/>
        </w:rPr>
      </w:pPr>
      <w:r>
        <w:rPr>
          <w:rFonts w:asciiTheme="minorEastAsia" w:eastAsiaTheme="minorEastAsia" w:hAnsiTheme="minorEastAsia" w:cs="MS Song" w:hint="eastAsia"/>
        </w:rPr>
        <w:t>2.</w:t>
      </w:r>
      <w:r>
        <w:rPr>
          <w:rFonts w:asciiTheme="minorEastAsia" w:eastAsiaTheme="minorEastAsia" w:hAnsiTheme="minorEastAsia" w:cs="MS Song" w:hint="eastAsia"/>
        </w:rPr>
        <w:tab/>
        <w:t xml:space="preserve">Carranza's Clinical Periodontology，Michael G. Newman, Henry Takei, </w:t>
      </w:r>
      <w:proofErr w:type="spellStart"/>
      <w:r>
        <w:rPr>
          <w:rFonts w:asciiTheme="minorEastAsia" w:eastAsiaTheme="minorEastAsia" w:hAnsiTheme="minorEastAsia" w:cs="MS Song" w:hint="eastAsia"/>
        </w:rPr>
        <w:t>Fermin</w:t>
      </w:r>
      <w:proofErr w:type="spellEnd"/>
      <w:r>
        <w:rPr>
          <w:rFonts w:asciiTheme="minorEastAsia" w:eastAsiaTheme="minorEastAsia" w:hAnsiTheme="minorEastAsia" w:cs="MS Song" w:hint="eastAsia"/>
        </w:rPr>
        <w:t xml:space="preserve"> A. Carranza，Saunders; 9 </w:t>
      </w:r>
      <w:proofErr w:type="gramStart"/>
      <w:r>
        <w:rPr>
          <w:rFonts w:asciiTheme="minorEastAsia" w:eastAsiaTheme="minorEastAsia" w:hAnsiTheme="minorEastAsia" w:cs="MS Song" w:hint="eastAsia"/>
        </w:rPr>
        <w:t>edition</w:t>
      </w:r>
      <w:proofErr w:type="gramEnd"/>
      <w:r>
        <w:rPr>
          <w:rFonts w:asciiTheme="minorEastAsia" w:eastAsiaTheme="minorEastAsia" w:hAnsiTheme="minorEastAsia" w:cs="MS Song" w:hint="eastAsia"/>
        </w:rPr>
        <w:t>，2001</w:t>
      </w:r>
    </w:p>
    <w:p w:rsidR="00AC15BF" w:rsidRDefault="00AC15BF" w:rsidP="00AC15BF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/>
        </w:rPr>
        <w:t>.</w:t>
      </w:r>
      <w:r>
        <w:rPr>
          <w:rFonts w:asciiTheme="minorEastAsia" w:eastAsiaTheme="minorEastAsia" w:hAnsiTheme="minorEastAsia"/>
        </w:rPr>
        <w:tab/>
        <w:t xml:space="preserve">Principles and Practice，Mahmoud </w:t>
      </w:r>
      <w:proofErr w:type="spellStart"/>
      <w:r>
        <w:rPr>
          <w:rFonts w:asciiTheme="minorEastAsia" w:eastAsiaTheme="minorEastAsia" w:hAnsiTheme="minorEastAsia"/>
        </w:rPr>
        <w:t>Torabinejad</w:t>
      </w:r>
      <w:proofErr w:type="spellEnd"/>
      <w:r>
        <w:rPr>
          <w:rFonts w:asciiTheme="minorEastAsia" w:eastAsiaTheme="minorEastAsia" w:hAnsiTheme="minorEastAsia"/>
        </w:rPr>
        <w:t xml:space="preserve">; Richard E. Walton </w:t>
      </w:r>
      <w:proofErr w:type="spellStart"/>
      <w:proofErr w:type="gramStart"/>
      <w:r>
        <w:rPr>
          <w:rFonts w:asciiTheme="minorEastAsia" w:eastAsiaTheme="minorEastAsia" w:hAnsiTheme="minorEastAsia"/>
        </w:rPr>
        <w:t>Endodontics:Publisher</w:t>
      </w:r>
      <w:proofErr w:type="spellEnd"/>
      <w:proofErr w:type="gramEnd"/>
      <w:r>
        <w:rPr>
          <w:rFonts w:asciiTheme="minorEastAsia" w:eastAsiaTheme="minorEastAsia" w:hAnsiTheme="minorEastAsia"/>
        </w:rPr>
        <w:t>: W B Saunders Co Publication Date: 2008</w:t>
      </w:r>
    </w:p>
    <w:p w:rsidR="007C4EF6" w:rsidRPr="00AC15BF" w:rsidRDefault="007C4EF6">
      <w:bookmarkStart w:id="0" w:name="_GoBack"/>
      <w:bookmarkEnd w:id="0"/>
    </w:p>
    <w:sectPr w:rsidR="007C4EF6" w:rsidRPr="00AC1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ong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E220D"/>
    <w:multiLevelType w:val="multilevel"/>
    <w:tmpl w:val="38AE220D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ascii="宋体" w:eastAsia="宋体" w:hAnsi="宋体" w:hint="eastAs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BF"/>
    <w:rsid w:val="007C4EF6"/>
    <w:rsid w:val="00AC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0B0C4-535A-4591-9EE6-7A04866E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5B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2018-06-29T08:15:00Z</dcterms:created>
  <dcterms:modified xsi:type="dcterms:W3CDTF">2018-06-29T08:15:00Z</dcterms:modified>
</cp:coreProperties>
</file>